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145F" w14:textId="77777777" w:rsidR="00EE4FAD" w:rsidRPr="009A01CD" w:rsidRDefault="00B601F4" w:rsidP="009A01CD">
      <w:pPr>
        <w:pStyle w:val="Heading2"/>
        <w:rPr>
          <w:rFonts w:ascii="Times New Roman" w:hAnsi="Times New Roman" w:cs="Times New Roman"/>
          <w:color w:val="auto"/>
          <w:u w:val="single"/>
        </w:rPr>
      </w:pPr>
      <w:r w:rsidRPr="009A01CD">
        <w:rPr>
          <w:rFonts w:ascii="Times New Roman" w:hAnsi="Times New Roman" w:cs="Times New Roman"/>
          <w:color w:val="auto"/>
          <w:u w:val="single"/>
        </w:rPr>
        <w:t xml:space="preserve">ASPHALT </w:t>
      </w:r>
      <w:r w:rsidR="00BA7698" w:rsidRPr="009A01CD">
        <w:rPr>
          <w:rFonts w:ascii="Times New Roman" w:hAnsi="Times New Roman" w:cs="Times New Roman"/>
          <w:color w:val="auto"/>
          <w:u w:val="single"/>
        </w:rPr>
        <w:t>PAVEMENTS (Maintenance Version)</w:t>
      </w:r>
      <w:r w:rsidR="00D1351A" w:rsidRPr="009A01CD">
        <w:rPr>
          <w:rFonts w:ascii="Times New Roman" w:hAnsi="Times New Roman" w:cs="Times New Roman"/>
          <w:color w:val="auto"/>
          <w:u w:val="single"/>
        </w:rPr>
        <w:t>:</w:t>
      </w:r>
    </w:p>
    <w:tbl>
      <w:tblPr>
        <w:tblW w:w="0" w:type="auto"/>
        <w:tblLayout w:type="fixed"/>
        <w:tblLook w:val="0000" w:firstRow="0" w:lastRow="0" w:firstColumn="0" w:lastColumn="0" w:noHBand="0" w:noVBand="0"/>
      </w:tblPr>
      <w:tblGrid>
        <w:gridCol w:w="4788"/>
        <w:gridCol w:w="4788"/>
      </w:tblGrid>
      <w:tr w:rsidR="0081095A" w14:paraId="192FEC15" w14:textId="77777777" w:rsidTr="001C5D2C">
        <w:tc>
          <w:tcPr>
            <w:tcW w:w="4788" w:type="dxa"/>
          </w:tcPr>
          <w:p w14:paraId="5CD75062" w14:textId="3025659E" w:rsidR="0081095A" w:rsidRDefault="00651D9B" w:rsidP="00486759">
            <w:pPr>
              <w:keepLines/>
              <w:jc w:val="both"/>
            </w:pPr>
            <w:r>
              <w:rPr>
                <w:sz w:val="16"/>
              </w:rPr>
              <w:t xml:space="preserve">   </w:t>
            </w:r>
            <w:r w:rsidR="0081095A">
              <w:rPr>
                <w:sz w:val="16"/>
              </w:rPr>
              <w:t>(1</w:t>
            </w:r>
            <w:r w:rsidR="00486759">
              <w:rPr>
                <w:sz w:val="16"/>
              </w:rPr>
              <w:t>-2</w:t>
            </w:r>
            <w:r w:rsidR="0081095A">
              <w:rPr>
                <w:sz w:val="16"/>
              </w:rPr>
              <w:t>-1</w:t>
            </w:r>
            <w:r w:rsidR="00486759">
              <w:rPr>
                <w:sz w:val="16"/>
              </w:rPr>
              <w:t>4</w:t>
            </w:r>
            <w:r w:rsidR="0081095A">
              <w:rPr>
                <w:sz w:val="16"/>
              </w:rPr>
              <w:t>)</w:t>
            </w:r>
            <w:r>
              <w:rPr>
                <w:sz w:val="16"/>
              </w:rPr>
              <w:t xml:space="preserve">(Rev. </w:t>
            </w:r>
            <w:r w:rsidR="006C48F2">
              <w:rPr>
                <w:sz w:val="16"/>
              </w:rPr>
              <w:t>7</w:t>
            </w:r>
            <w:r>
              <w:rPr>
                <w:sz w:val="16"/>
              </w:rPr>
              <w:t>-</w:t>
            </w:r>
            <w:r w:rsidR="006C48F2">
              <w:rPr>
                <w:sz w:val="16"/>
              </w:rPr>
              <w:t>1</w:t>
            </w:r>
            <w:r w:rsidR="0076600B">
              <w:rPr>
                <w:sz w:val="16"/>
              </w:rPr>
              <w:t>5</w:t>
            </w:r>
            <w:r>
              <w:rPr>
                <w:sz w:val="16"/>
              </w:rPr>
              <w:t>-</w:t>
            </w:r>
            <w:r w:rsidR="006C48F2">
              <w:rPr>
                <w:sz w:val="16"/>
              </w:rPr>
              <w:t>25</w:t>
            </w:r>
            <w:r>
              <w:rPr>
                <w:sz w:val="16"/>
              </w:rPr>
              <w:t>)</w:t>
            </w:r>
          </w:p>
        </w:tc>
        <w:tc>
          <w:tcPr>
            <w:tcW w:w="4788" w:type="dxa"/>
          </w:tcPr>
          <w:p w14:paraId="4B33B191" w14:textId="77777777" w:rsidR="0081095A" w:rsidRDefault="0081095A" w:rsidP="00DE45BB">
            <w:pPr>
              <w:keepLines/>
              <w:jc w:val="right"/>
            </w:pPr>
            <w:r>
              <w:rPr>
                <w:sz w:val="16"/>
              </w:rPr>
              <w:t>SPI 6-1</w:t>
            </w:r>
            <w:r w:rsidR="00DE45BB">
              <w:rPr>
                <w:sz w:val="16"/>
              </w:rPr>
              <w:t>2</w:t>
            </w:r>
          </w:p>
        </w:tc>
      </w:tr>
    </w:tbl>
    <w:p w14:paraId="5E80A463" w14:textId="77777777" w:rsidR="00CE04CE" w:rsidRPr="008A1D3A" w:rsidRDefault="00CE04CE" w:rsidP="0078352B">
      <w:pPr>
        <w:keepNext/>
        <w:keepLines/>
      </w:pPr>
    </w:p>
    <w:p w14:paraId="082F641A" w14:textId="6D3C45A5" w:rsidR="00581C54" w:rsidRDefault="006C48F2" w:rsidP="008A1D3A">
      <w:pPr>
        <w:keepNext/>
        <w:keepLines/>
        <w:jc w:val="both"/>
      </w:pPr>
      <w:r>
        <w:t>Construct asphalt pavement</w:t>
      </w:r>
      <w:r w:rsidR="00710341">
        <w:t>s</w:t>
      </w:r>
      <w:r>
        <w:t xml:space="preserve"> in accordance with Section 610 of the </w:t>
      </w:r>
      <w:r w:rsidRPr="006C48F2">
        <w:rPr>
          <w:i/>
          <w:iCs/>
        </w:rPr>
        <w:t>Standard Specifications</w:t>
      </w:r>
      <w:r>
        <w:t xml:space="preserve"> </w:t>
      </w:r>
      <w:r w:rsidR="00084E9A">
        <w:t>and this special provision.</w:t>
      </w:r>
    </w:p>
    <w:p w14:paraId="1D1FEFC5" w14:textId="77777777" w:rsidR="00581C54" w:rsidRDefault="00581C54" w:rsidP="008A1D3A">
      <w:pPr>
        <w:keepNext/>
        <w:keepLines/>
        <w:jc w:val="both"/>
      </w:pPr>
    </w:p>
    <w:p w14:paraId="2CBD23FE" w14:textId="12D67140" w:rsidR="00581C54" w:rsidRDefault="006C48F2" w:rsidP="00581C54">
      <w:pPr>
        <w:jc w:val="both"/>
      </w:pPr>
      <w:r>
        <w:rPr>
          <w:bCs/>
        </w:rPr>
        <w:t>P</w:t>
      </w:r>
      <w:r w:rsidR="00581C54">
        <w:t>rovid</w:t>
      </w:r>
      <w:r>
        <w:t>e</w:t>
      </w:r>
      <w:r w:rsidR="00581C54">
        <w:t xml:space="preserve"> and conduct quality control</w:t>
      </w:r>
      <w:r w:rsidR="000142AB">
        <w:t xml:space="preserve"> (QC)</w:t>
      </w:r>
      <w:r w:rsidR="00581C54">
        <w:t xml:space="preserve"> as specified in either Section 609 or under the </w:t>
      </w:r>
      <w:r w:rsidR="00654C07">
        <w:t xml:space="preserve">special provision </w:t>
      </w:r>
      <w:r w:rsidR="00581C54">
        <w:t>titled “Quality Management System for Asphalt Pavements (Maintenance Version)”</w:t>
      </w:r>
      <w:r w:rsidR="000142AB">
        <w:t>, as applicable</w:t>
      </w:r>
      <w:r w:rsidR="00581C54">
        <w:t>.</w:t>
      </w:r>
      <w:r>
        <w:t xml:space="preserve">  </w:t>
      </w:r>
      <w:r w:rsidR="000142AB">
        <w:t>D</w:t>
      </w:r>
      <w:r w:rsidR="00581C54">
        <w:t xml:space="preserve">esign requirements for the various mix types </w:t>
      </w:r>
      <w:r w:rsidR="000142AB">
        <w:t>s</w:t>
      </w:r>
      <w:bookmarkStart w:id="0" w:name="_Hlk198103159"/>
      <w:r w:rsidR="000142AB">
        <w:t>hall meet the requirements of</w:t>
      </w:r>
      <w:bookmarkEnd w:id="0"/>
      <w:r w:rsidR="00581C54">
        <w:t xml:space="preserve"> Table</w:t>
      </w:r>
      <w:r w:rsidR="00BA7698">
        <w:t> </w:t>
      </w:r>
      <w:r w:rsidR="00581C54">
        <w:t>610-2 and Table 610-3</w:t>
      </w:r>
      <w:r>
        <w:t xml:space="preserve"> of the </w:t>
      </w:r>
      <w:r w:rsidRPr="006C48F2">
        <w:rPr>
          <w:i/>
          <w:iCs/>
        </w:rPr>
        <w:t>Standard Specifications</w:t>
      </w:r>
      <w:r w:rsidR="00581C54">
        <w:t>.</w:t>
      </w:r>
      <w:r>
        <w:t xml:space="preserve">  Surface testing of the completed pavement and performing all activities in accordance with the Department’s </w:t>
      </w:r>
      <w:r w:rsidRPr="006C48F2">
        <w:rPr>
          <w:i/>
          <w:iCs/>
        </w:rPr>
        <w:t>Asphalt Quality Management System (QMS) Manual</w:t>
      </w:r>
      <w:r>
        <w:t xml:space="preserve"> is not required.  Warm mix asphalt (WMA) is not applicable to maintenance asphalt pavement processes nor as an additive.</w:t>
      </w:r>
    </w:p>
    <w:p w14:paraId="6F1A8742" w14:textId="77777777" w:rsidR="00581C54" w:rsidRDefault="00581C54" w:rsidP="00581C54">
      <w:pPr>
        <w:jc w:val="both"/>
      </w:pPr>
    </w:p>
    <w:p w14:paraId="04A2D316" w14:textId="19558D4C" w:rsidR="00581C54" w:rsidRDefault="00581C54" w:rsidP="00581C54">
      <w:pPr>
        <w:jc w:val="both"/>
      </w:pPr>
      <w:r>
        <w:t xml:space="preserve">Do not place plant mix base course or intermediate course </w:t>
      </w:r>
      <w:r w:rsidR="008C2AD1">
        <w:t>unless it will</w:t>
      </w:r>
      <w:r>
        <w:t xml:space="preserve"> be covered with surface course during the same calendar year or within 30 days of placement if the plant mix is placed in January or Februa</w:t>
      </w:r>
      <w:r w:rsidR="00BA7698">
        <w:t>ry, unless otherwise approved</w:t>
      </w:r>
      <w:r w:rsidR="00F94D1A">
        <w:t xml:space="preserve"> by the Engineer</w:t>
      </w:r>
      <w:r w:rsidR="00BA7698">
        <w:t>.</w:t>
      </w:r>
      <w:r w:rsidR="000142AB">
        <w:t xml:space="preserve">  The second and fourth paragraph of Article 610-4 of the </w:t>
      </w:r>
      <w:r w:rsidR="000142AB" w:rsidRPr="000142AB">
        <w:rPr>
          <w:i/>
          <w:iCs/>
        </w:rPr>
        <w:t xml:space="preserve">Standard Specifications </w:t>
      </w:r>
      <w:r w:rsidR="008C2AD1">
        <w:t>do not apply</w:t>
      </w:r>
      <w:r w:rsidR="000142AB">
        <w:t xml:space="preserve">.  </w:t>
      </w:r>
    </w:p>
    <w:p w14:paraId="7588ADF5" w14:textId="77777777" w:rsidR="00581C54" w:rsidRDefault="00581C54" w:rsidP="00581C54">
      <w:pPr>
        <w:jc w:val="both"/>
      </w:pPr>
    </w:p>
    <w:p w14:paraId="02A34FF7" w14:textId="21E16251" w:rsidR="00581C54" w:rsidRDefault="008C2AD1" w:rsidP="00581C54">
      <w:pPr>
        <w:jc w:val="both"/>
      </w:pPr>
      <w:r>
        <w:t xml:space="preserve">Spread and finish in accordance with Article 610-8 of the </w:t>
      </w:r>
      <w:r w:rsidRPr="008C2AD1">
        <w:rPr>
          <w:i/>
          <w:iCs/>
        </w:rPr>
        <w:t>Standard Specifications</w:t>
      </w:r>
      <w:r>
        <w:t xml:space="preserve">.  The use </w:t>
      </w:r>
      <w:r w:rsidR="00581C54">
        <w:t>of pavers</w:t>
      </w:r>
      <w:r>
        <w:t xml:space="preserve"> equipped with</w:t>
      </w:r>
      <w:r w:rsidR="00581C54">
        <w:t xml:space="preserve"> automatic control grade and </w:t>
      </w:r>
      <w:r w:rsidR="00C55D12">
        <w:t>cross-slope</w:t>
      </w:r>
      <w:r>
        <w:t xml:space="preserve"> controls</w:t>
      </w:r>
      <w:r w:rsidR="00C55D12">
        <w:t xml:space="preserve"> </w:t>
      </w:r>
      <w:r>
        <w:t xml:space="preserve">is </w:t>
      </w:r>
      <w:r w:rsidR="00C55D12">
        <w:t>recommended.</w:t>
      </w:r>
    </w:p>
    <w:p w14:paraId="4E3F7359" w14:textId="77777777" w:rsidR="00581C54" w:rsidRDefault="00581C54" w:rsidP="00581C54">
      <w:pPr>
        <w:jc w:val="both"/>
      </w:pPr>
    </w:p>
    <w:p w14:paraId="5C899597" w14:textId="4AB99409" w:rsidR="008C2AD1" w:rsidRDefault="008C2AD1" w:rsidP="00581C54">
      <w:pPr>
        <w:jc w:val="both"/>
      </w:pPr>
      <w:r>
        <w:t xml:space="preserve">Compact in accordance with Article 610-9 of the </w:t>
      </w:r>
      <w:r w:rsidRPr="008C2AD1">
        <w:rPr>
          <w:i/>
          <w:iCs/>
        </w:rPr>
        <w:t>Standard Specifications</w:t>
      </w:r>
      <w:r>
        <w:t>, except the third paragraph of this article does not apply and approval is not required for equipment used in compaction from the Engineer before use.</w:t>
      </w:r>
    </w:p>
    <w:p w14:paraId="449DE655" w14:textId="77777777" w:rsidR="00710341" w:rsidRDefault="00710341" w:rsidP="00581C54">
      <w:pPr>
        <w:jc w:val="both"/>
      </w:pPr>
    </w:p>
    <w:p w14:paraId="15101DEA" w14:textId="4BFAA334" w:rsidR="00710341" w:rsidRDefault="008C2AD1" w:rsidP="008C2AD1">
      <w:pPr>
        <w:jc w:val="both"/>
      </w:pPr>
      <w:r>
        <w:t xml:space="preserve">Surface requirements and acceptance shall be in accordance with Article 610-12 of the </w:t>
      </w:r>
      <w:r w:rsidRPr="00710341">
        <w:rPr>
          <w:i/>
          <w:iCs/>
        </w:rPr>
        <w:t xml:space="preserve">Standard </w:t>
      </w:r>
      <w:r w:rsidR="00710341" w:rsidRPr="00710341">
        <w:rPr>
          <w:i/>
          <w:iCs/>
        </w:rPr>
        <w:t>Specification</w:t>
      </w:r>
      <w:r w:rsidRPr="00710341">
        <w:rPr>
          <w:i/>
          <w:iCs/>
        </w:rPr>
        <w:t>s</w:t>
      </w:r>
      <w:r>
        <w:t xml:space="preserve"> except replace “2,500” with “500” in this article.</w:t>
      </w:r>
    </w:p>
    <w:p w14:paraId="669EB964" w14:textId="77777777" w:rsidR="00710341" w:rsidRDefault="00710341" w:rsidP="008C2AD1">
      <w:pPr>
        <w:jc w:val="both"/>
      </w:pPr>
    </w:p>
    <w:p w14:paraId="611918E9" w14:textId="342410A1" w:rsidR="00710341" w:rsidRDefault="00710341" w:rsidP="008C2AD1">
      <w:pPr>
        <w:jc w:val="both"/>
      </w:pPr>
      <w:r>
        <w:t xml:space="preserve">Final surface testing and acceptance in accordance with Article 610-13 of the </w:t>
      </w:r>
      <w:r w:rsidRPr="00710341">
        <w:rPr>
          <w:i/>
          <w:iCs/>
        </w:rPr>
        <w:t>Standard Specifications</w:t>
      </w:r>
      <w:r>
        <w:rPr>
          <w:i/>
          <w:iCs/>
        </w:rPr>
        <w:t xml:space="preserve"> </w:t>
      </w:r>
      <w:r>
        <w:t>is not required.</w:t>
      </w:r>
    </w:p>
    <w:p w14:paraId="10024243" w14:textId="77777777" w:rsidR="00581C54" w:rsidRDefault="00581C54" w:rsidP="00581C54">
      <w:pPr>
        <w:jc w:val="both"/>
      </w:pPr>
    </w:p>
    <w:p w14:paraId="7D894300" w14:textId="0A2DA0FF" w:rsidR="00710341" w:rsidRDefault="00710341" w:rsidP="00581C54">
      <w:pPr>
        <w:jc w:val="both"/>
      </w:pPr>
      <w:r>
        <w:t>Density acceptance shall be in accordance with the following</w:t>
      </w:r>
      <w:r w:rsidR="008E0334">
        <w:t xml:space="preserve"> paragraphs</w:t>
      </w:r>
      <w:r>
        <w:t xml:space="preserve">, instead of Article 610-14 of the </w:t>
      </w:r>
      <w:r w:rsidRPr="00710341">
        <w:rPr>
          <w:i/>
          <w:iCs/>
        </w:rPr>
        <w:t>Standard Specifications</w:t>
      </w:r>
      <w:r>
        <w:t>.</w:t>
      </w:r>
    </w:p>
    <w:p w14:paraId="578549EC" w14:textId="77777777" w:rsidR="00710341" w:rsidRDefault="00710341" w:rsidP="00581C54">
      <w:pPr>
        <w:jc w:val="both"/>
      </w:pPr>
    </w:p>
    <w:p w14:paraId="74BDCA0C" w14:textId="385DAB64" w:rsidR="00581C54" w:rsidRDefault="00581C54" w:rsidP="00581C54">
      <w:pPr>
        <w:jc w:val="both"/>
      </w:pPr>
      <w:r>
        <w:t xml:space="preserve">The Department will evaluate the asphalt pavement for density acceptance after the asphalt mix has been placed and compacted using the Contractor's </w:t>
      </w:r>
      <w:r w:rsidR="00B021C4">
        <w:t>QC</w:t>
      </w:r>
      <w:r>
        <w:t xml:space="preserve"> test results, the Department's quality assurance</w:t>
      </w:r>
      <w:r w:rsidR="00B021C4">
        <w:t xml:space="preserve"> (QA)</w:t>
      </w:r>
      <w:r>
        <w:t xml:space="preserve"> test results </w:t>
      </w:r>
      <w:r w:rsidR="00B021C4">
        <w:t>(</w:t>
      </w:r>
      <w:r>
        <w:t>including verification samples</w:t>
      </w:r>
      <w:r w:rsidR="00B021C4">
        <w:t>)</w:t>
      </w:r>
      <w:r>
        <w:t xml:space="preserve"> and by observation of the Contractor's density </w:t>
      </w:r>
      <w:r w:rsidR="00B021C4">
        <w:t>QC</w:t>
      </w:r>
      <w:r>
        <w:t xml:space="preserve"> process in accordance with Section 609</w:t>
      </w:r>
      <w:r w:rsidR="008E0334">
        <w:t xml:space="preserve"> </w:t>
      </w:r>
      <w:r w:rsidR="00B021C4">
        <w:t>of the Standard Specifications</w:t>
      </w:r>
      <w:r>
        <w:t>.  Minimum density requirements for all mixes will be as specified in the following table:</w:t>
      </w:r>
    </w:p>
    <w:p w14:paraId="2FFD33CF" w14:textId="77777777" w:rsidR="00581C54" w:rsidRPr="00603134" w:rsidRDefault="00581C54" w:rsidP="00581C54">
      <w:pPr>
        <w:jc w:val="both"/>
        <w:rPr>
          <w:szCs w:val="24"/>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597"/>
        <w:gridCol w:w="3162"/>
      </w:tblGrid>
      <w:tr w:rsidR="00BA7698" w:rsidRPr="00603134" w14:paraId="23B24028" w14:textId="77777777" w:rsidTr="0097786D">
        <w:trPr>
          <w:jc w:val="center"/>
        </w:trPr>
        <w:tc>
          <w:tcPr>
            <w:tcW w:w="675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FB95302" w14:textId="7C84E5CE" w:rsidR="00BA7698" w:rsidRPr="00603134" w:rsidRDefault="00BA7698" w:rsidP="0088140E">
            <w:pPr>
              <w:keepNext/>
              <w:keepLines/>
              <w:jc w:val="center"/>
              <w:rPr>
                <w:b/>
                <w:szCs w:val="24"/>
              </w:rPr>
            </w:pPr>
            <w:r w:rsidRPr="00603134">
              <w:rPr>
                <w:b/>
                <w:szCs w:val="24"/>
              </w:rPr>
              <w:lastRenderedPageBreak/>
              <w:t>DENSITY REQUIREMENTS</w:t>
            </w:r>
          </w:p>
        </w:tc>
      </w:tr>
      <w:tr w:rsidR="00BA7698" w:rsidRPr="00603134" w14:paraId="4168F323" w14:textId="77777777" w:rsidTr="0097786D">
        <w:trPr>
          <w:jc w:val="center"/>
        </w:trPr>
        <w:tc>
          <w:tcPr>
            <w:tcW w:w="359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853FC80" w14:textId="77777777" w:rsidR="00BA7698" w:rsidRPr="00603134" w:rsidRDefault="00BA7698" w:rsidP="0088140E">
            <w:pPr>
              <w:keepNext/>
              <w:keepLines/>
              <w:jc w:val="center"/>
              <w:rPr>
                <w:b/>
                <w:szCs w:val="24"/>
              </w:rPr>
            </w:pPr>
            <w:r w:rsidRPr="00603134">
              <w:rPr>
                <w:b/>
                <w:szCs w:val="24"/>
              </w:rPr>
              <w:t>Mix Type</w:t>
            </w:r>
          </w:p>
        </w:tc>
        <w:tc>
          <w:tcPr>
            <w:tcW w:w="0" w:type="auto"/>
            <w:tcBorders>
              <w:top w:val="single" w:sz="4" w:space="0" w:color="C0C0C0"/>
              <w:left w:val="single" w:sz="4" w:space="0" w:color="C0C0C0"/>
              <w:bottom w:val="single" w:sz="4" w:space="0" w:color="C0C0C0"/>
              <w:right w:val="single" w:sz="4" w:space="0" w:color="C0C0C0"/>
            </w:tcBorders>
            <w:shd w:val="clear" w:color="auto" w:fill="auto"/>
            <w:vAlign w:val="center"/>
          </w:tcPr>
          <w:p w14:paraId="190A764C" w14:textId="77777777" w:rsidR="00BA7698" w:rsidRPr="00603134" w:rsidRDefault="00BA7698" w:rsidP="0088140E">
            <w:pPr>
              <w:keepNext/>
              <w:keepLines/>
              <w:jc w:val="center"/>
              <w:rPr>
                <w:b/>
                <w:szCs w:val="24"/>
              </w:rPr>
            </w:pPr>
            <w:r w:rsidRPr="00603134">
              <w:rPr>
                <w:b/>
                <w:szCs w:val="24"/>
              </w:rPr>
              <w:t>Minimum % G</w:t>
            </w:r>
            <w:r w:rsidRPr="00603134">
              <w:rPr>
                <w:b/>
                <w:szCs w:val="24"/>
                <w:vertAlign w:val="subscript"/>
              </w:rPr>
              <w:t>mm</w:t>
            </w:r>
            <w:r w:rsidRPr="00603134">
              <w:rPr>
                <w:b/>
                <w:szCs w:val="24"/>
              </w:rPr>
              <w:br/>
              <w:t>(Maximum Specific Gravity)</w:t>
            </w:r>
          </w:p>
        </w:tc>
      </w:tr>
      <w:tr w:rsidR="00BA7698" w:rsidRPr="00603134" w14:paraId="50150FD5" w14:textId="77777777" w:rsidTr="0097786D">
        <w:trPr>
          <w:jc w:val="center"/>
        </w:trPr>
        <w:tc>
          <w:tcPr>
            <w:tcW w:w="359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2446206" w14:textId="1170FECF" w:rsidR="00BA7698" w:rsidRPr="00603134" w:rsidRDefault="00BA7698" w:rsidP="0088140E">
            <w:pPr>
              <w:keepNext/>
              <w:keepLines/>
              <w:jc w:val="center"/>
              <w:rPr>
                <w:szCs w:val="24"/>
              </w:rPr>
            </w:pPr>
            <w:r w:rsidRPr="00603134">
              <w:rPr>
                <w:szCs w:val="24"/>
              </w:rPr>
              <w:t>S4.75A</w:t>
            </w:r>
          </w:p>
        </w:tc>
        <w:tc>
          <w:tcPr>
            <w:tcW w:w="0" w:type="auto"/>
            <w:tcBorders>
              <w:top w:val="single" w:sz="4" w:space="0" w:color="C0C0C0"/>
              <w:left w:val="single" w:sz="4" w:space="0" w:color="C0C0C0"/>
              <w:bottom w:val="single" w:sz="4" w:space="0" w:color="C0C0C0"/>
              <w:right w:val="single" w:sz="4" w:space="0" w:color="C0C0C0"/>
            </w:tcBorders>
            <w:shd w:val="clear" w:color="auto" w:fill="auto"/>
            <w:vAlign w:val="center"/>
          </w:tcPr>
          <w:p w14:paraId="447177FD" w14:textId="77777777" w:rsidR="00BA7698" w:rsidRPr="00603134" w:rsidRDefault="00BA7698" w:rsidP="0088140E">
            <w:pPr>
              <w:keepNext/>
              <w:keepLines/>
              <w:jc w:val="center"/>
              <w:rPr>
                <w:szCs w:val="24"/>
              </w:rPr>
            </w:pPr>
            <w:r w:rsidRPr="00603134">
              <w:rPr>
                <w:szCs w:val="24"/>
              </w:rPr>
              <w:t>85.0</w:t>
            </w:r>
          </w:p>
        </w:tc>
      </w:tr>
      <w:tr w:rsidR="00BA7698" w:rsidRPr="00603134" w14:paraId="35D3A395" w14:textId="77777777" w:rsidTr="0097786D">
        <w:trPr>
          <w:jc w:val="center"/>
        </w:trPr>
        <w:tc>
          <w:tcPr>
            <w:tcW w:w="359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30D3FEF" w14:textId="16A743BF" w:rsidR="00BA7698" w:rsidRPr="00603134" w:rsidRDefault="00BA7698" w:rsidP="0088140E">
            <w:pPr>
              <w:keepNext/>
              <w:keepLines/>
              <w:jc w:val="center"/>
              <w:rPr>
                <w:szCs w:val="24"/>
              </w:rPr>
            </w:pPr>
            <w:r w:rsidRPr="00603134">
              <w:rPr>
                <w:szCs w:val="24"/>
              </w:rPr>
              <w:t>S9.</w:t>
            </w:r>
            <w:r w:rsidR="00AC2069" w:rsidRPr="00603134">
              <w:rPr>
                <w:szCs w:val="24"/>
              </w:rPr>
              <w:t>5</w:t>
            </w:r>
            <w:r w:rsidR="00AC2069">
              <w:rPr>
                <w:szCs w:val="24"/>
              </w:rPr>
              <w:t>B</w:t>
            </w:r>
            <w:r w:rsidR="00084E9A">
              <w:rPr>
                <w:szCs w:val="24"/>
              </w:rPr>
              <w:t xml:space="preserve"> (2018)</w:t>
            </w:r>
          </w:p>
        </w:tc>
        <w:tc>
          <w:tcPr>
            <w:tcW w:w="0" w:type="auto"/>
            <w:tcBorders>
              <w:top w:val="single" w:sz="4" w:space="0" w:color="C0C0C0"/>
              <w:left w:val="single" w:sz="4" w:space="0" w:color="C0C0C0"/>
              <w:bottom w:val="single" w:sz="4" w:space="0" w:color="C0C0C0"/>
              <w:right w:val="single" w:sz="4" w:space="0" w:color="C0C0C0"/>
            </w:tcBorders>
            <w:shd w:val="clear" w:color="auto" w:fill="auto"/>
            <w:vAlign w:val="center"/>
          </w:tcPr>
          <w:p w14:paraId="3E5AA0B2" w14:textId="77777777" w:rsidR="00BA7698" w:rsidRPr="00603134" w:rsidRDefault="00BA7698" w:rsidP="0088140E">
            <w:pPr>
              <w:keepNext/>
              <w:keepLines/>
              <w:jc w:val="center"/>
              <w:rPr>
                <w:szCs w:val="24"/>
              </w:rPr>
            </w:pPr>
            <w:r w:rsidRPr="00603134">
              <w:rPr>
                <w:szCs w:val="24"/>
              </w:rPr>
              <w:t>90.0</w:t>
            </w:r>
          </w:p>
        </w:tc>
      </w:tr>
      <w:tr w:rsidR="00BA7698" w:rsidRPr="00603134" w14:paraId="05170C37" w14:textId="77777777" w:rsidTr="0097786D">
        <w:trPr>
          <w:jc w:val="center"/>
        </w:trPr>
        <w:tc>
          <w:tcPr>
            <w:tcW w:w="359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375995" w14:textId="3DD9589B" w:rsidR="00BA7698" w:rsidRPr="00603134" w:rsidRDefault="00BA7698" w:rsidP="0088140E">
            <w:pPr>
              <w:keepNext/>
              <w:keepLines/>
              <w:jc w:val="center"/>
              <w:rPr>
                <w:szCs w:val="24"/>
              </w:rPr>
            </w:pPr>
            <w:r w:rsidRPr="00603134">
              <w:rPr>
                <w:szCs w:val="24"/>
              </w:rPr>
              <w:t>S9.</w:t>
            </w:r>
            <w:r w:rsidR="00AC2069" w:rsidRPr="00603134">
              <w:rPr>
                <w:szCs w:val="24"/>
              </w:rPr>
              <w:t>5</w:t>
            </w:r>
            <w:r w:rsidR="00AC2069">
              <w:rPr>
                <w:szCs w:val="24"/>
              </w:rPr>
              <w:t>C</w:t>
            </w:r>
            <w:r w:rsidRPr="00603134">
              <w:rPr>
                <w:szCs w:val="24"/>
              </w:rPr>
              <w:t xml:space="preserve">, </w:t>
            </w:r>
            <w:r w:rsidR="00AC2069">
              <w:rPr>
                <w:szCs w:val="24"/>
              </w:rPr>
              <w:t xml:space="preserve">S9.5D, </w:t>
            </w:r>
            <w:r w:rsidRPr="00603134">
              <w:rPr>
                <w:szCs w:val="24"/>
              </w:rPr>
              <w:t>I19.</w:t>
            </w:r>
            <w:r w:rsidR="00AC2069" w:rsidRPr="00603134">
              <w:rPr>
                <w:szCs w:val="24"/>
              </w:rPr>
              <w:t>0</w:t>
            </w:r>
            <w:r w:rsidR="00AC2069">
              <w:rPr>
                <w:szCs w:val="24"/>
              </w:rPr>
              <w:t>C</w:t>
            </w:r>
            <w:r w:rsidRPr="00603134">
              <w:rPr>
                <w:szCs w:val="24"/>
              </w:rPr>
              <w:t>, B25.</w:t>
            </w:r>
            <w:r w:rsidR="00AC2069" w:rsidRPr="00603134">
              <w:rPr>
                <w:szCs w:val="24"/>
              </w:rPr>
              <w:t>0</w:t>
            </w:r>
            <w:r w:rsidR="00AC2069">
              <w:rPr>
                <w:szCs w:val="24"/>
              </w:rPr>
              <w:t>C</w:t>
            </w:r>
          </w:p>
        </w:tc>
        <w:tc>
          <w:tcPr>
            <w:tcW w:w="0" w:type="auto"/>
            <w:tcBorders>
              <w:top w:val="single" w:sz="4" w:space="0" w:color="C0C0C0"/>
              <w:left w:val="single" w:sz="4" w:space="0" w:color="C0C0C0"/>
              <w:bottom w:val="single" w:sz="4" w:space="0" w:color="C0C0C0"/>
              <w:right w:val="single" w:sz="4" w:space="0" w:color="C0C0C0"/>
            </w:tcBorders>
            <w:shd w:val="clear" w:color="auto" w:fill="auto"/>
            <w:vAlign w:val="center"/>
          </w:tcPr>
          <w:p w14:paraId="4D74636C" w14:textId="77777777" w:rsidR="00BA7698" w:rsidRPr="00603134" w:rsidRDefault="00BA7698" w:rsidP="0088140E">
            <w:pPr>
              <w:keepNext/>
              <w:keepLines/>
              <w:jc w:val="center"/>
              <w:rPr>
                <w:szCs w:val="24"/>
              </w:rPr>
            </w:pPr>
            <w:r w:rsidRPr="00603134">
              <w:rPr>
                <w:szCs w:val="24"/>
              </w:rPr>
              <w:t>92.0</w:t>
            </w:r>
          </w:p>
        </w:tc>
      </w:tr>
    </w:tbl>
    <w:p w14:paraId="603C559F" w14:textId="77777777" w:rsidR="00581C54" w:rsidRDefault="00581C54" w:rsidP="00581C54">
      <w:pPr>
        <w:jc w:val="both"/>
      </w:pPr>
    </w:p>
    <w:p w14:paraId="05ADA515" w14:textId="2B2ED613" w:rsidR="00581C54" w:rsidRDefault="00581C54" w:rsidP="00581C54">
      <w:pPr>
        <w:jc w:val="both"/>
      </w:pPr>
      <w:r>
        <w:t>Density acceptance will be as provided herein.  Core sample densities will be determined using the average maximum specific gravity (G</w:t>
      </w:r>
      <w:r w:rsidRPr="00BA7698">
        <w:rPr>
          <w:vertAlign w:val="subscript"/>
        </w:rPr>
        <w:t>mm</w:t>
      </w:r>
      <w:r>
        <w:t>) from the test(s) performed during the same day’s production.  The average G</w:t>
      </w:r>
      <w:r w:rsidRPr="00BA7698">
        <w:rPr>
          <w:vertAlign w:val="subscript"/>
        </w:rPr>
        <w:t>mm</w:t>
      </w:r>
      <w:r>
        <w:t xml:space="preserve"> in effect at the end of the same day's production will be used to </w:t>
      </w:r>
      <w:r w:rsidR="0091001A">
        <w:t>evaluate</w:t>
      </w:r>
      <w:r>
        <w:t xml:space="preserve"> acceptance.  </w:t>
      </w:r>
    </w:p>
    <w:p w14:paraId="71A2D4D1" w14:textId="77777777" w:rsidR="00581C54" w:rsidRDefault="00581C54" w:rsidP="00581C54">
      <w:pPr>
        <w:jc w:val="both"/>
      </w:pPr>
    </w:p>
    <w:p w14:paraId="0ECB4CFD" w14:textId="652D72D2" w:rsidR="00581C54" w:rsidRDefault="00581C54" w:rsidP="00581C54">
      <w:pPr>
        <w:jc w:val="both"/>
      </w:pPr>
      <w:r>
        <w:t xml:space="preserve">The pavement will be accepted for density on a lot by lot basis.  A lot will consist of one day’s production of a given job mix formula on a contract.  </w:t>
      </w:r>
      <w:r w:rsidR="0091001A" w:rsidRPr="0091001A">
        <w:t>As an exception, when multiple paving crews place asphalt simultaneously, a separate lot will be established for each paving crew.</w:t>
      </w:r>
    </w:p>
    <w:p w14:paraId="28555184" w14:textId="77777777" w:rsidR="00581C54" w:rsidRDefault="00581C54" w:rsidP="00581C54">
      <w:pPr>
        <w:jc w:val="both"/>
      </w:pPr>
    </w:p>
    <w:p w14:paraId="6C24F2FE" w14:textId="5628F811" w:rsidR="00581C54" w:rsidRDefault="00581C54" w:rsidP="00581C54">
      <w:pPr>
        <w:jc w:val="both"/>
      </w:pPr>
      <w:r>
        <w:t xml:space="preserve">Acceptance of all failing density lots constructed under this </w:t>
      </w:r>
      <w:r w:rsidR="00F67742">
        <w:t xml:space="preserve">special provision </w:t>
      </w:r>
      <w:r>
        <w:t>will be made in accordance with Article 105-3 of the</w:t>
      </w:r>
      <w:r w:rsidR="00651D9B">
        <w:t xml:space="preserve"> </w:t>
      </w:r>
      <w:r w:rsidR="00BA7698">
        <w:rPr>
          <w:i/>
        </w:rPr>
        <w:t>S</w:t>
      </w:r>
      <w:r w:rsidRPr="00BA7698">
        <w:rPr>
          <w:i/>
        </w:rPr>
        <w:t>tandard Specifications</w:t>
      </w:r>
      <w:r>
        <w:t>.</w:t>
      </w:r>
    </w:p>
    <w:p w14:paraId="608AE365" w14:textId="77777777" w:rsidR="00581C54" w:rsidRDefault="00581C54" w:rsidP="00581C54">
      <w:pPr>
        <w:jc w:val="both"/>
      </w:pPr>
    </w:p>
    <w:p w14:paraId="6D975B6B" w14:textId="31053EC4" w:rsidR="006B44BD" w:rsidRDefault="00581C54" w:rsidP="00F67742">
      <w:pPr>
        <w:jc w:val="both"/>
      </w:pPr>
      <w:r>
        <w:t>Any reduction in pay due to failing density will be in addition to any reduction in pay due to failing mix property test results on the same mix.</w:t>
      </w:r>
      <w:r w:rsidR="00F67742" w:rsidDel="00F67742">
        <w:t xml:space="preserve"> </w:t>
      </w:r>
    </w:p>
    <w:p w14:paraId="02E247AE" w14:textId="77777777" w:rsidR="00F67742" w:rsidRDefault="00F67742" w:rsidP="00F94D1A">
      <w:pPr>
        <w:jc w:val="both"/>
      </w:pPr>
    </w:p>
    <w:p w14:paraId="1908D1AE" w14:textId="77777777" w:rsidR="00F67742" w:rsidRPr="00C25C8F" w:rsidRDefault="00F67742" w:rsidP="00F67742">
      <w:pPr>
        <w:widowControl w:val="0"/>
        <w:jc w:val="both"/>
        <w:rPr>
          <w:b/>
          <w:szCs w:val="24"/>
        </w:rPr>
      </w:pPr>
      <w:r w:rsidRPr="00C25C8F">
        <w:rPr>
          <w:b/>
          <w:szCs w:val="24"/>
        </w:rPr>
        <w:t>Measurement and Payment</w:t>
      </w:r>
    </w:p>
    <w:p w14:paraId="44FEEAED" w14:textId="77777777" w:rsidR="00F67742" w:rsidRDefault="00F67742" w:rsidP="00F67742">
      <w:pPr>
        <w:widowControl w:val="0"/>
        <w:jc w:val="both"/>
        <w:rPr>
          <w:b/>
          <w:szCs w:val="24"/>
        </w:rPr>
      </w:pPr>
    </w:p>
    <w:p w14:paraId="11FAD30F" w14:textId="25603EC1" w:rsidR="00F67742" w:rsidRDefault="00F67742" w:rsidP="00F67742">
      <w:pPr>
        <w:widowControl w:val="0"/>
        <w:jc w:val="both"/>
        <w:rPr>
          <w:szCs w:val="24"/>
        </w:rPr>
      </w:pPr>
      <w:r w:rsidRPr="00F67742">
        <w:rPr>
          <w:i/>
          <w:szCs w:val="24"/>
        </w:rPr>
        <w:t>Asphalt Concrete ___________ Course, Type ______</w:t>
      </w:r>
      <w:r>
        <w:rPr>
          <w:i/>
          <w:szCs w:val="24"/>
        </w:rPr>
        <w:t xml:space="preserve"> for Maintenance </w:t>
      </w:r>
      <w:r w:rsidRPr="00F67742">
        <w:rPr>
          <w:szCs w:val="24"/>
        </w:rPr>
        <w:t>will be paid at the contract unit price per ton that will be the actual number of tons of each type of hot mix asphalt pavement incorporated into the completed and accepted work in accordance with Article 106-7</w:t>
      </w:r>
      <w:r>
        <w:rPr>
          <w:szCs w:val="24"/>
        </w:rPr>
        <w:t xml:space="preserve"> of the </w:t>
      </w:r>
      <w:r w:rsidRPr="00F67742">
        <w:rPr>
          <w:i/>
          <w:iCs/>
          <w:szCs w:val="24"/>
        </w:rPr>
        <w:t>Standard Specifications</w:t>
      </w:r>
      <w:r w:rsidRPr="00F67742">
        <w:rPr>
          <w:szCs w:val="24"/>
        </w:rPr>
        <w:t>.</w:t>
      </w:r>
    </w:p>
    <w:p w14:paraId="0CB87895" w14:textId="77777777" w:rsidR="00F67742" w:rsidRPr="00C25C8F" w:rsidRDefault="00F67742" w:rsidP="00F67742">
      <w:pPr>
        <w:widowControl w:val="0"/>
        <w:jc w:val="both"/>
        <w:rPr>
          <w:szCs w:val="24"/>
        </w:rPr>
      </w:pPr>
    </w:p>
    <w:p w14:paraId="3C8D5FF4" w14:textId="77777777" w:rsidR="00F67742" w:rsidRPr="00C25C8F" w:rsidRDefault="00F67742" w:rsidP="00F67742">
      <w:pPr>
        <w:keepNext/>
        <w:keepLines/>
        <w:jc w:val="both"/>
        <w:rPr>
          <w:szCs w:val="24"/>
        </w:rPr>
      </w:pPr>
      <w:r w:rsidRPr="00C25C8F">
        <w:rPr>
          <w:szCs w:val="24"/>
        </w:rPr>
        <w:t>Payment will be made under:</w:t>
      </w:r>
    </w:p>
    <w:p w14:paraId="16A6F62D" w14:textId="77777777" w:rsidR="00F67742" w:rsidRPr="00C25C8F" w:rsidRDefault="00F67742" w:rsidP="00F67742">
      <w:pPr>
        <w:keepNext/>
        <w:keepLines/>
        <w:jc w:val="both"/>
        <w:rPr>
          <w:szCs w:val="24"/>
        </w:rPr>
      </w:pPr>
    </w:p>
    <w:tbl>
      <w:tblPr>
        <w:tblW w:w="0" w:type="auto"/>
        <w:tblInd w:w="18" w:type="dxa"/>
        <w:tblLayout w:type="fixed"/>
        <w:tblLook w:val="0000" w:firstRow="0" w:lastRow="0" w:firstColumn="0" w:lastColumn="0" w:noHBand="0" w:noVBand="0"/>
      </w:tblPr>
      <w:tblGrid>
        <w:gridCol w:w="7650"/>
        <w:gridCol w:w="1800"/>
      </w:tblGrid>
      <w:tr w:rsidR="00F67742" w:rsidRPr="00C25C8F" w14:paraId="2FED4E86" w14:textId="77777777" w:rsidTr="00400739">
        <w:tc>
          <w:tcPr>
            <w:tcW w:w="7650" w:type="dxa"/>
          </w:tcPr>
          <w:p w14:paraId="1E3ECA5B" w14:textId="77777777" w:rsidR="00F67742" w:rsidRPr="00C25C8F" w:rsidRDefault="00F67742" w:rsidP="00D40D05">
            <w:pPr>
              <w:keepNext/>
              <w:keepLines/>
              <w:jc w:val="both"/>
              <w:rPr>
                <w:b/>
                <w:szCs w:val="24"/>
              </w:rPr>
            </w:pPr>
            <w:r w:rsidRPr="00C25C8F">
              <w:rPr>
                <w:b/>
                <w:szCs w:val="24"/>
              </w:rPr>
              <w:t>Pay Item</w:t>
            </w:r>
          </w:p>
        </w:tc>
        <w:tc>
          <w:tcPr>
            <w:tcW w:w="1800" w:type="dxa"/>
          </w:tcPr>
          <w:p w14:paraId="69E5CCC3" w14:textId="77777777" w:rsidR="00F67742" w:rsidRPr="00C25C8F" w:rsidRDefault="00F67742" w:rsidP="00D40D05">
            <w:pPr>
              <w:keepNext/>
              <w:keepLines/>
              <w:jc w:val="both"/>
              <w:rPr>
                <w:b/>
                <w:szCs w:val="24"/>
              </w:rPr>
            </w:pPr>
            <w:r w:rsidRPr="00C25C8F">
              <w:rPr>
                <w:b/>
                <w:szCs w:val="24"/>
              </w:rPr>
              <w:t>Pay Unit</w:t>
            </w:r>
          </w:p>
        </w:tc>
      </w:tr>
      <w:tr w:rsidR="00F67742" w:rsidRPr="00C25C8F" w14:paraId="2D623B2D" w14:textId="77777777" w:rsidTr="00400739">
        <w:tc>
          <w:tcPr>
            <w:tcW w:w="7650" w:type="dxa"/>
          </w:tcPr>
          <w:p w14:paraId="3DEA43EB" w14:textId="46BC790A" w:rsidR="00F67742" w:rsidRPr="00C25C8F" w:rsidRDefault="00F67742" w:rsidP="00D40D05">
            <w:pPr>
              <w:keepNext/>
              <w:keepLines/>
              <w:jc w:val="both"/>
              <w:rPr>
                <w:szCs w:val="24"/>
              </w:rPr>
            </w:pPr>
            <w:r w:rsidRPr="00F67742">
              <w:rPr>
                <w:szCs w:val="24"/>
              </w:rPr>
              <w:t>Asphalt Concrete ___________ Course, Type ______ for Maintenance</w:t>
            </w:r>
          </w:p>
        </w:tc>
        <w:tc>
          <w:tcPr>
            <w:tcW w:w="1800" w:type="dxa"/>
          </w:tcPr>
          <w:p w14:paraId="5F3C7505" w14:textId="6C57A759" w:rsidR="00F67742" w:rsidRPr="00C25C8F" w:rsidRDefault="00F67742" w:rsidP="00D40D05">
            <w:pPr>
              <w:keepNext/>
              <w:keepLines/>
              <w:jc w:val="both"/>
              <w:rPr>
                <w:szCs w:val="24"/>
              </w:rPr>
            </w:pPr>
            <w:r>
              <w:rPr>
                <w:szCs w:val="24"/>
              </w:rPr>
              <w:t>Ton</w:t>
            </w:r>
          </w:p>
        </w:tc>
      </w:tr>
    </w:tbl>
    <w:p w14:paraId="7CE4BF4A" w14:textId="24C447F2" w:rsidR="00F67742" w:rsidRPr="0078352B" w:rsidRDefault="00F67742" w:rsidP="00F67742">
      <w:pPr>
        <w:jc w:val="both"/>
      </w:pPr>
    </w:p>
    <w:sectPr w:rsidR="00F67742" w:rsidRPr="0078352B">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28C7"/>
    <w:multiLevelType w:val="singleLevel"/>
    <w:tmpl w:val="0C882BD2"/>
    <w:lvl w:ilvl="0">
      <w:start w:val="1"/>
      <w:numFmt w:val="upperLetter"/>
      <w:lvlText w:val="(%1)"/>
      <w:lvlJc w:val="left"/>
      <w:pPr>
        <w:tabs>
          <w:tab w:val="num" w:pos="1110"/>
        </w:tabs>
        <w:ind w:left="1110" w:hanging="390"/>
      </w:pPr>
      <w:rPr>
        <w:rFonts w:hint="default"/>
      </w:rPr>
    </w:lvl>
  </w:abstractNum>
  <w:abstractNum w:abstractNumId="1" w15:restartNumberingAfterBreak="0">
    <w:nsid w:val="2FB60EB1"/>
    <w:multiLevelType w:val="singleLevel"/>
    <w:tmpl w:val="7DBAC9F6"/>
    <w:lvl w:ilvl="0">
      <w:start w:val="1"/>
      <w:numFmt w:val="decimal"/>
      <w:lvlText w:val="%1."/>
      <w:lvlJc w:val="left"/>
      <w:pPr>
        <w:tabs>
          <w:tab w:val="num" w:pos="720"/>
        </w:tabs>
        <w:ind w:left="720" w:hanging="720"/>
      </w:pPr>
      <w:rPr>
        <w:rFonts w:hint="default"/>
      </w:rPr>
    </w:lvl>
  </w:abstractNum>
  <w:num w:numId="1" w16cid:durableId="1709719386">
    <w:abstractNumId w:val="1"/>
  </w:num>
  <w:num w:numId="2" w16cid:durableId="44180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E2C"/>
    <w:rsid w:val="000142AB"/>
    <w:rsid w:val="0002549F"/>
    <w:rsid w:val="00054BAE"/>
    <w:rsid w:val="00084E9A"/>
    <w:rsid w:val="00087921"/>
    <w:rsid w:val="000D4D10"/>
    <w:rsid w:val="000E193F"/>
    <w:rsid w:val="00191191"/>
    <w:rsid w:val="002E0F6F"/>
    <w:rsid w:val="00333B3D"/>
    <w:rsid w:val="00347D34"/>
    <w:rsid w:val="00350BD9"/>
    <w:rsid w:val="003E4B91"/>
    <w:rsid w:val="00400739"/>
    <w:rsid w:val="0043500B"/>
    <w:rsid w:val="00486759"/>
    <w:rsid w:val="0052646A"/>
    <w:rsid w:val="00540BC6"/>
    <w:rsid w:val="00572D1F"/>
    <w:rsid w:val="00581C54"/>
    <w:rsid w:val="0059162C"/>
    <w:rsid w:val="005C636B"/>
    <w:rsid w:val="00603134"/>
    <w:rsid w:val="00604928"/>
    <w:rsid w:val="00651D9B"/>
    <w:rsid w:val="00654C07"/>
    <w:rsid w:val="00657627"/>
    <w:rsid w:val="006B44BD"/>
    <w:rsid w:val="006C48F2"/>
    <w:rsid w:val="00710341"/>
    <w:rsid w:val="007153C5"/>
    <w:rsid w:val="007265C9"/>
    <w:rsid w:val="00754349"/>
    <w:rsid w:val="0076600B"/>
    <w:rsid w:val="0078352B"/>
    <w:rsid w:val="007D0D5C"/>
    <w:rsid w:val="007D762B"/>
    <w:rsid w:val="007E4418"/>
    <w:rsid w:val="007E5D0B"/>
    <w:rsid w:val="0081095A"/>
    <w:rsid w:val="0081347D"/>
    <w:rsid w:val="008A1D3A"/>
    <w:rsid w:val="008C2AD1"/>
    <w:rsid w:val="008E0334"/>
    <w:rsid w:val="0091001A"/>
    <w:rsid w:val="0097786D"/>
    <w:rsid w:val="009A01CD"/>
    <w:rsid w:val="009A2F26"/>
    <w:rsid w:val="009B59DE"/>
    <w:rsid w:val="009B6E2C"/>
    <w:rsid w:val="009F4D43"/>
    <w:rsid w:val="00AC2069"/>
    <w:rsid w:val="00B021C4"/>
    <w:rsid w:val="00B601F4"/>
    <w:rsid w:val="00BA7698"/>
    <w:rsid w:val="00BE3F08"/>
    <w:rsid w:val="00BF1A6F"/>
    <w:rsid w:val="00C55D12"/>
    <w:rsid w:val="00CE04CE"/>
    <w:rsid w:val="00CE5F9C"/>
    <w:rsid w:val="00D06598"/>
    <w:rsid w:val="00D1351A"/>
    <w:rsid w:val="00D14008"/>
    <w:rsid w:val="00D23310"/>
    <w:rsid w:val="00DE45BB"/>
    <w:rsid w:val="00E57945"/>
    <w:rsid w:val="00EC14DE"/>
    <w:rsid w:val="00EE4FAD"/>
    <w:rsid w:val="00EF08A4"/>
    <w:rsid w:val="00EF68F4"/>
    <w:rsid w:val="00F2001B"/>
    <w:rsid w:val="00F23EAF"/>
    <w:rsid w:val="00F67742"/>
    <w:rsid w:val="00F94D1A"/>
    <w:rsid w:val="00FD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9B17F"/>
  <w15:docId w15:val="{7644DE11-B72A-43A3-8A0C-17E68C28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3600"/>
        <w:tab w:val="left" w:pos="5760"/>
        <w:tab w:val="left" w:pos="8280"/>
      </w:tabs>
      <w:outlineLvl w:val="0"/>
    </w:pPr>
    <w:rPr>
      <w:b/>
    </w:rPr>
  </w:style>
  <w:style w:type="paragraph" w:styleId="Heading2">
    <w:name w:val="heading 2"/>
    <w:basedOn w:val="Normal"/>
    <w:next w:val="Normal"/>
    <w:link w:val="Heading2Char"/>
    <w:uiPriority w:val="9"/>
    <w:unhideWhenUsed/>
    <w:qFormat/>
    <w:rsid w:val="009A01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581C5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920"/>
      </w:tabs>
    </w:pPr>
    <w:rPr>
      <w:rFonts w:ascii="Arial" w:hAnsi="Arial"/>
    </w:rPr>
  </w:style>
  <w:style w:type="paragraph" w:customStyle="1" w:styleId="Style1">
    <w:name w:val="Style1"/>
    <w:basedOn w:val="Normal"/>
  </w:style>
  <w:style w:type="paragraph" w:styleId="BodyTextIndent">
    <w:name w:val="Body Text Indent"/>
    <w:basedOn w:val="Normal"/>
    <w:semiHidden/>
    <w:pPr>
      <w:ind w:left="720"/>
    </w:pPr>
  </w:style>
  <w:style w:type="table" w:styleId="TableGrid">
    <w:name w:val="Table Grid"/>
    <w:basedOn w:val="TableNormal"/>
    <w:uiPriority w:val="59"/>
    <w:rsid w:val="00D1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51A"/>
    <w:rPr>
      <w:rFonts w:ascii="Tahoma" w:hAnsi="Tahoma" w:cs="Tahoma"/>
      <w:sz w:val="16"/>
      <w:szCs w:val="16"/>
    </w:rPr>
  </w:style>
  <w:style w:type="character" w:customStyle="1" w:styleId="BalloonTextChar">
    <w:name w:val="Balloon Text Char"/>
    <w:link w:val="BalloonText"/>
    <w:uiPriority w:val="99"/>
    <w:semiHidden/>
    <w:rsid w:val="00D1351A"/>
    <w:rPr>
      <w:rFonts w:ascii="Tahoma" w:hAnsi="Tahoma" w:cs="Tahoma"/>
      <w:sz w:val="16"/>
      <w:szCs w:val="16"/>
    </w:rPr>
  </w:style>
  <w:style w:type="character" w:customStyle="1" w:styleId="Heading7Char">
    <w:name w:val="Heading 7 Char"/>
    <w:basedOn w:val="DefaultParagraphFont"/>
    <w:link w:val="Heading7"/>
    <w:uiPriority w:val="9"/>
    <w:semiHidden/>
    <w:rsid w:val="00581C54"/>
    <w:rPr>
      <w:rFonts w:asciiTheme="majorHAnsi" w:eastAsiaTheme="majorEastAsia" w:hAnsiTheme="majorHAnsi" w:cstheme="majorBidi"/>
      <w:i/>
      <w:iCs/>
      <w:color w:val="404040" w:themeColor="text1" w:themeTint="BF"/>
      <w:sz w:val="24"/>
    </w:rPr>
  </w:style>
  <w:style w:type="character" w:customStyle="1" w:styleId="Heading2Char">
    <w:name w:val="Heading 2 Char"/>
    <w:basedOn w:val="DefaultParagraphFont"/>
    <w:link w:val="Heading2"/>
    <w:uiPriority w:val="9"/>
    <w:rsid w:val="009A01CD"/>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AC2069"/>
    <w:rPr>
      <w:sz w:val="24"/>
    </w:rPr>
  </w:style>
  <w:style w:type="character" w:styleId="CommentReference">
    <w:name w:val="annotation reference"/>
    <w:basedOn w:val="DefaultParagraphFont"/>
    <w:uiPriority w:val="99"/>
    <w:semiHidden/>
    <w:unhideWhenUsed/>
    <w:rsid w:val="00604928"/>
    <w:rPr>
      <w:sz w:val="16"/>
      <w:szCs w:val="16"/>
    </w:rPr>
  </w:style>
  <w:style w:type="paragraph" w:styleId="CommentText">
    <w:name w:val="annotation text"/>
    <w:basedOn w:val="Normal"/>
    <w:link w:val="CommentTextChar"/>
    <w:uiPriority w:val="99"/>
    <w:unhideWhenUsed/>
    <w:rsid w:val="00604928"/>
    <w:rPr>
      <w:sz w:val="20"/>
    </w:rPr>
  </w:style>
  <w:style w:type="character" w:customStyle="1" w:styleId="CommentTextChar">
    <w:name w:val="Comment Text Char"/>
    <w:basedOn w:val="DefaultParagraphFont"/>
    <w:link w:val="CommentText"/>
    <w:uiPriority w:val="99"/>
    <w:rsid w:val="00604928"/>
  </w:style>
  <w:style w:type="paragraph" w:styleId="CommentSubject">
    <w:name w:val="annotation subject"/>
    <w:basedOn w:val="CommentText"/>
    <w:next w:val="CommentText"/>
    <w:link w:val="CommentSubjectChar"/>
    <w:uiPriority w:val="99"/>
    <w:semiHidden/>
    <w:unhideWhenUsed/>
    <w:rsid w:val="00604928"/>
    <w:rPr>
      <w:b/>
      <w:bCs/>
    </w:rPr>
  </w:style>
  <w:style w:type="character" w:customStyle="1" w:styleId="CommentSubjectChar">
    <w:name w:val="Comment Subject Char"/>
    <w:basedOn w:val="CommentTextChar"/>
    <w:link w:val="CommentSubject"/>
    <w:uiPriority w:val="99"/>
    <w:semiHidden/>
    <w:rsid w:val="006049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vision xmlns="18eea951-c1a4-4244-8cc7-be1efbfe7cb6">ASPHALT PAVEMENTS (Maintenance Version) (Note: Need SPI 06-15 with this provision)</Provision>
    <File_x0020_Category xmlns="18eea951-c1a4-4244-8cc7-be1efbfe7cb6" xsi:nil="true"/>
    <Provision_x0020_Number xmlns="18eea951-c1a4-4244-8cc7-be1efbfe7cb6">SPI 06-12</Provision_x0020_Number>
    <Let_x0020_Date xmlns="18eea951-c1a4-4244-8cc7-be1efbfe7cb6">2025-07</Let_x0020_Date>
    <Provision_x0020_Year xmlns="18eea951-c1a4-4244-8cc7-be1efbfe7cb6">2024 Standard Specifications</Provision_x0020_Year>
    <URL xmlns="http://schemas.microsoft.com/sharepoint/v3">
      <Url xsi:nil="true"/>
      <Description xsi:nil="true"/>
    </URL>
    <No_x002e_ xmlns="18eea951-c1a4-4244-8cc7-be1efbfe7cb6">SPI 06</No_x002e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B0E0C6D-284C-459B-9D72-85EB647A2ECE}"/>
</file>

<file path=customXml/itemProps2.xml><?xml version="1.0" encoding="utf-8"?>
<ds:datastoreItem xmlns:ds="http://schemas.openxmlformats.org/officeDocument/2006/customXml" ds:itemID="{FC546F4D-4F73-4E95-8AD0-8D54584C7416}">
  <ds:schemaRefs>
    <ds:schemaRef ds:uri="http://schemas.microsoft.com/sharepoint/v3/contenttype/forms"/>
  </ds:schemaRefs>
</ds:datastoreItem>
</file>

<file path=customXml/itemProps3.xml><?xml version="1.0" encoding="utf-8"?>
<ds:datastoreItem xmlns:ds="http://schemas.openxmlformats.org/officeDocument/2006/customXml" ds:itemID="{921396C6-08E4-4A1A-A814-9D1336F36686}">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4.xml><?xml version="1.0" encoding="utf-8"?>
<ds:datastoreItem xmlns:ds="http://schemas.openxmlformats.org/officeDocument/2006/customXml" ds:itemID="{2BE955DD-DC8F-48B7-A9BC-45FBBF7C0FAC}">
  <ds:schemaRefs>
    <ds:schemaRef ds:uri="http://schemas.openxmlformats.org/officeDocument/2006/bibliography"/>
  </ds:schemaRefs>
</ds:datastoreItem>
</file>

<file path=customXml/itemProps5.xml><?xml version="1.0" encoding="utf-8"?>
<ds:datastoreItem xmlns:ds="http://schemas.openxmlformats.org/officeDocument/2006/customXml" ds:itemID="{88B11AD7-D290-42DD-A79A-239319ED54B9}"/>
</file>

<file path=docProps/app.xml><?xml version="1.0" encoding="utf-8"?>
<Properties xmlns="http://schemas.openxmlformats.org/officeDocument/2006/extended-properties" xmlns:vt="http://schemas.openxmlformats.org/officeDocument/2006/docPropsVTypes">
  <Template>Normal.dotm</Template>
  <TotalTime>4</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GENERAL CONDITIONS SPECIAL PROVISIONS</vt:lpstr>
    </vt:vector>
  </TitlesOfParts>
  <Company>NCDOT</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ASPHALT PAVEMENTS (Maintenance Version) (Note: Need SPI 06-15 with this provision)</dc:title>
  <dc:creator>Surti, Nilesh</dc:creator>
  <cp:lastModifiedBy>Penny, Lisa E</cp:lastModifiedBy>
  <cp:revision>6</cp:revision>
  <cp:lastPrinted>2025-05-12T16:36:00Z</cp:lastPrinted>
  <dcterms:created xsi:type="dcterms:W3CDTF">2025-05-14T12:25:00Z</dcterms:created>
  <dcterms:modified xsi:type="dcterms:W3CDTF">2025-05-22T14:11:00Z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28100</vt:r8>
  </property>
</Properties>
</file>